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5F1" w:rsidRDefault="003875F1"/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DD7A0B" w:rsidRPr="00D95774" w:rsidRDefault="00DD7A0B" w:rsidP="00DD7A0B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74478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proofErr w:type="spellStart"/>
            <w:r w:rsidR="00574478">
              <w:rPr>
                <w:rFonts w:ascii="Times New Roman" w:hAnsi="Times New Roman"/>
                <w:b/>
                <w:bCs/>
                <w:sz w:val="20"/>
                <w:szCs w:val="20"/>
              </w:rPr>
              <w:t>Мастер</w:t>
            </w:r>
            <w:r w:rsidR="00D701DF">
              <w:rPr>
                <w:rFonts w:ascii="Times New Roman" w:hAnsi="Times New Roman"/>
                <w:b/>
                <w:bCs/>
                <w:sz w:val="20"/>
                <w:szCs w:val="20"/>
              </w:rPr>
              <w:t>академске</w:t>
            </w:r>
            <w:r w:rsidR="00574478">
              <w:rPr>
                <w:rFonts w:ascii="Times New Roman" w:hAnsi="Times New Roman"/>
                <w:b/>
                <w:bCs/>
                <w:sz w:val="20"/>
                <w:szCs w:val="20"/>
              </w:rPr>
              <w:t>студије</w:t>
            </w:r>
            <w:proofErr w:type="spellEnd"/>
            <w:r w:rsidR="0057447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МЕДИЦИНА ДУГОВЕЧНОСТИ И ЗДРАВО СТАРЕЊЕ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57447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ЋЕЛИЈСКЕ ОСНОВЕ ДУГОВЕЧНОСТИ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74478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7447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Душан Младеновић, </w:t>
            </w:r>
            <w:r w:rsidR="0057447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Милена Весковић</w:t>
            </w:r>
            <w:r w:rsidR="007540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Бојан Јоргачевић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57447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Обавезни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57447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2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574478" w:rsidRPr="0057447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Уписан први семестар</w:t>
            </w:r>
            <w:r w:rsidR="0057447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студија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773EAF" w:rsidRDefault="00574478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Упознавање студената са ћелијским и молекулским основама старења са нагласком на </w:t>
            </w:r>
            <w:bookmarkStart w:id="0" w:name="_GoBack"/>
            <w:r w:rsidR="002B155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могућа циљна</w:t>
            </w:r>
            <w:r w:rsidR="00C74FF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места и процесе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ћелији </w:t>
            </w:r>
            <w:r w:rsidR="00D76B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 које треба деловати како би се постигла дуговечност</w:t>
            </w:r>
            <w:r w:rsidR="00C74FF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интеграција механизама старења у јединствен концепт здравог старења ћелија</w:t>
            </w:r>
            <w:bookmarkEnd w:id="0"/>
            <w:r w:rsidR="00D76B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а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 циљу бољег разумевања мера за успоравање биолошког старења</w:t>
            </w:r>
            <w:r w:rsidR="00773EA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:rsidR="00773EAF" w:rsidRPr="00773EAF" w:rsidRDefault="00773EAF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DD7A0B" w:rsidRPr="00092214" w:rsidRDefault="007540DA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16D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Након успешно савладано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 предмета студенти ће бити оспособљени да разумеју процес старења на ћелијском нивоу, молекулске основе функционалних поремећаја органа у старењу, као и да схвате којим механизмима треба да делују потенцијална средства која продужавају животни век и у ком правцу треба да буду усмерена истраживања у циљу постизања дуговечности.</w:t>
            </w:r>
            <w:r w:rsidR="00393D8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Такође, студенти ће бити оспособљени да</w:t>
            </w:r>
            <w:r w:rsidR="00393D82">
              <w:rPr>
                <w:rFonts w:ascii="Times New Roman" w:hAnsi="Times New Roman"/>
                <w:bCs/>
                <w:sz w:val="20"/>
                <w:szCs w:val="20"/>
              </w:rPr>
              <w:t xml:space="preserve"> научним критичким размишљањем и анализом релевантне литературе</w:t>
            </w:r>
            <w:r w:rsidR="00B976B5">
              <w:rPr>
                <w:rFonts w:ascii="Times New Roman" w:hAnsi="Times New Roman"/>
                <w:bCs/>
                <w:sz w:val="20"/>
                <w:szCs w:val="20"/>
              </w:rPr>
              <w:t xml:space="preserve"> објективно процене ефикасност потенцијалног средства за успорење старости према механизмима његовог дејства. 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DD7A0B" w:rsidRPr="00D76BBA" w:rsidRDefault="00D76BBA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Увод у механизме ћелијског оштећења и репарације – улога репарације у дуговечности.  </w:t>
            </w:r>
            <w:r w:rsidR="00834CE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Повезаност између старења</w:t>
            </w:r>
            <w:r w:rsidR="00334C9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субцелуларног оштећења</w:t>
            </w:r>
            <w:r w:rsidR="00834CE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</w:t>
            </w:r>
            <w:r w:rsidR="00D701D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Сенесценција ћелија и ћелијски циклус.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Генска експресија и теломере у старењу. </w:t>
            </w:r>
            <w:r w:rsidR="00734FD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Улога ламина у старењу.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Запаљење. Оксидативни стрес и старење</w:t>
            </w:r>
            <w:r w:rsidR="00734FD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</w:t>
            </w:r>
            <w:r w:rsidR="00FB21D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Промене цитоскелета, ћелијске мембране и екстрацелуларног матрикса у старењу. </w:t>
            </w:r>
            <w:r w:rsidR="00773EA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Крајњи продукти гликације. </w:t>
            </w:r>
            <w:r w:rsidR="00734FD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Протеостаза. </w:t>
            </w:r>
            <w:r w:rsidR="00FB21D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Стрес ендоплазматског ретикулума.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Аутофагија – улога у дуговечности. </w:t>
            </w:r>
            <w:r w:rsidR="00C74FF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Транскрипциони </w:t>
            </w:r>
            <w:r w:rsidR="00FB21D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фактори, </w:t>
            </w:r>
            <w:r w:rsidR="00C74FF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фактори раста </w:t>
            </w:r>
            <w:r w:rsidR="00FB21D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 сиртуини </w:t>
            </w:r>
            <w:r w:rsidR="00C74FF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у дуговечности.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Стрес, старење и дуговечност. Значај модулације запаљења</w:t>
            </w:r>
            <w:r w:rsidR="007958AF">
              <w:rPr>
                <w:rFonts w:ascii="Times New Roman" w:hAnsi="Times New Roman"/>
                <w:iCs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оксидативног стреса у дуговечности.</w:t>
            </w:r>
            <w:r w:rsidR="00FB21D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Улога митохондријске биогенезе и митофагије у дуговечности. 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DD7A0B" w:rsidRPr="009E0430" w:rsidRDefault="007540DA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iCs/>
                <w:sz w:val="20"/>
                <w:szCs w:val="20"/>
              </w:rPr>
              <w:t>Маркеристарења</w:t>
            </w:r>
            <w:proofErr w:type="spellEnd"/>
            <w:r w:rsidR="00D701DF">
              <w:rPr>
                <w:rFonts w:ascii="Times New Roman" w:hAnsi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="00D701DF">
              <w:rPr>
                <w:rFonts w:ascii="Times New Roman" w:hAnsi="Times New Roman"/>
                <w:iCs/>
                <w:sz w:val="20"/>
                <w:szCs w:val="20"/>
              </w:rPr>
              <w:t>ћелијске</w:t>
            </w:r>
            <w:proofErr w:type="spellEnd"/>
            <w:r w:rsidR="00D701DF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D701DF">
              <w:rPr>
                <w:rFonts w:ascii="Times New Roman" w:hAnsi="Times New Roman"/>
                <w:iCs/>
                <w:sz w:val="20"/>
                <w:szCs w:val="20"/>
              </w:rPr>
              <w:t>сенесценције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iCs/>
                <w:sz w:val="20"/>
                <w:szCs w:val="20"/>
              </w:rPr>
              <w:t>Параметриоксидативногстреса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="00B976B5">
              <w:rPr>
                <w:rFonts w:ascii="Times New Roman" w:hAnsi="Times New Roman"/>
                <w:iCs/>
                <w:sz w:val="20"/>
                <w:szCs w:val="20"/>
              </w:rPr>
              <w:t xml:space="preserve"> Параметри запаљења. Протеини акутне фазе у старењу.</w:t>
            </w:r>
            <w:r w:rsidR="009E0430">
              <w:rPr>
                <w:rFonts w:ascii="Times New Roman" w:hAnsi="Times New Roman"/>
                <w:iCs/>
                <w:sz w:val="20"/>
                <w:szCs w:val="20"/>
              </w:rPr>
              <w:t xml:space="preserve"> Одређивање стреса ендоплазматског ретикулума и аутофагије. </w:t>
            </w:r>
            <w:r w:rsidR="00834CEF">
              <w:rPr>
                <w:rFonts w:ascii="Times New Roman" w:hAnsi="Times New Roman"/>
                <w:iCs/>
                <w:sz w:val="20"/>
                <w:szCs w:val="20"/>
              </w:rPr>
              <w:t xml:space="preserve">Ћелијски модели старења. </w:t>
            </w:r>
            <w:r w:rsidR="00393D82">
              <w:rPr>
                <w:rFonts w:ascii="Times New Roman" w:hAnsi="Times New Roman"/>
                <w:iCs/>
                <w:sz w:val="20"/>
                <w:szCs w:val="20"/>
              </w:rPr>
              <w:t>Критичка анализа литературе о механизмима старења и дуговечности</w:t>
            </w:r>
            <w:r w:rsidR="00773EAF">
              <w:rPr>
                <w:rFonts w:ascii="Times New Roman" w:hAnsi="Times New Roman"/>
                <w:iCs/>
                <w:sz w:val="20"/>
                <w:szCs w:val="20"/>
              </w:rPr>
              <w:t xml:space="preserve">. Анализа научних резултата. 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DD7A0B" w:rsidRPr="00D536D3" w:rsidRDefault="00D536D3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D536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Rattan SIS</w:t>
            </w:r>
            <w:r w:rsidRPr="00D536D3">
              <w:rPr>
                <w:rFonts w:ascii="Times New Roman" w:hAnsi="Times New Roman"/>
                <w:bCs/>
                <w:sz w:val="20"/>
                <w:szCs w:val="20"/>
              </w:rPr>
              <w:t xml:space="preserve"> (Ed.)</w:t>
            </w:r>
            <w:r w:rsidRPr="00D536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Molecular </w:t>
            </w:r>
            <w:r w:rsidRPr="00D536D3">
              <w:rPr>
                <w:rFonts w:ascii="Times New Roman" w:hAnsi="Times New Roman"/>
                <w:bCs/>
                <w:sz w:val="20"/>
                <w:szCs w:val="20"/>
              </w:rPr>
              <w:t>Basis of Nutrition and Aging. Elsevier, 2016</w:t>
            </w:r>
            <w:r w:rsidR="0066547A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DD7A0B" w:rsidRDefault="0066547A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66547A">
              <w:rPr>
                <w:rFonts w:ascii="Times New Roman" w:hAnsi="Times New Roman"/>
                <w:bCs/>
                <w:sz w:val="20"/>
                <w:szCs w:val="20"/>
              </w:rPr>
              <w:t xml:space="preserve">Behl C, Ziegler C. Cell Aging. Molecular Mechanisms and Implications for Disease. Springer 2014. </w:t>
            </w:r>
          </w:p>
          <w:p w:rsidR="0066547A" w:rsidRPr="0066547A" w:rsidRDefault="0066547A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Rudolph KL (Ulm)(Ed.) Molecular Mechanisms of Adult Stem Cell Aging. Karger 2010.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0F52D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F52D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1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F52D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2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DD7A0B" w:rsidRPr="00092214" w:rsidRDefault="007958AF" w:rsidP="00773E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Предавања, вежбе, </w:t>
            </w:r>
            <w:r w:rsidR="009E0430">
              <w:rPr>
                <w:rFonts w:ascii="Times New Roman" w:hAnsi="Times New Roman"/>
                <w:sz w:val="20"/>
                <w:szCs w:val="20"/>
                <w:lang w:val="sr-Cyrl-CS"/>
              </w:rPr>
              <w:t>семинари</w:t>
            </w:r>
            <w:r w:rsidR="009E0430" w:rsidRPr="00A74865">
              <w:rPr>
                <w:rFonts w:ascii="Times New Roman" w:hAnsi="Times New Roman"/>
                <w:sz w:val="20"/>
                <w:szCs w:val="20"/>
                <w:lang w:val="sr-Cyrl-CS"/>
              </w:rPr>
              <w:t>, дискусије, решавање проблема, презентације индивидуалног рада студената на решавању конретних практичних проб</w:t>
            </w:r>
            <w:r w:rsidR="009E0430">
              <w:rPr>
                <w:rFonts w:ascii="Times New Roman" w:hAnsi="Times New Roman"/>
                <w:sz w:val="20"/>
                <w:szCs w:val="20"/>
                <w:lang w:val="sr-Cyrl-CS"/>
              </w:rPr>
              <w:t>лема користећи литературу и при</w:t>
            </w:r>
            <w:r w:rsidR="009E0430" w:rsidRPr="00A74865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9E0430">
              <w:rPr>
                <w:rFonts w:ascii="Times New Roman" w:hAnsi="Times New Roman"/>
                <w:sz w:val="20"/>
                <w:szCs w:val="20"/>
              </w:rPr>
              <w:t>р</w:t>
            </w:r>
            <w:r w:rsidR="009E0430" w:rsidRPr="00A7486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емљене материјале и научне </w:t>
            </w:r>
            <w:r w:rsidR="009E0430" w:rsidRPr="00A74865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чланке.  Студентима ће бити додељени домаћи задаци за  решавање практичних проблема и теме за дискусије, семинарске радове и активност на часу. Последња активност ће бити завршни испит.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Оцена  знања (максимални број поена 100)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C972EE" w:rsidRDefault="00C972EE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C972EE" w:rsidRDefault="00C972EE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70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DD7A0B" w:rsidRPr="00C972EE" w:rsidRDefault="00C972EE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D9577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C972E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DD7A0B" w:rsidRPr="00C972EE" w:rsidRDefault="00C972EE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1"/>
  <w:proofState w:spelling="clean" w:grammar="clean"/>
  <w:defaultTabStop w:val="720"/>
  <w:characterSpacingControl w:val="doNotCompress"/>
  <w:compat/>
  <w:rsids>
    <w:rsidRoot w:val="00DD7A0B"/>
    <w:rsid w:val="000F52D6"/>
    <w:rsid w:val="002B1558"/>
    <w:rsid w:val="00334C99"/>
    <w:rsid w:val="003875F1"/>
    <w:rsid w:val="00393D82"/>
    <w:rsid w:val="003966B0"/>
    <w:rsid w:val="003D48BF"/>
    <w:rsid w:val="00574478"/>
    <w:rsid w:val="006147F3"/>
    <w:rsid w:val="006209A7"/>
    <w:rsid w:val="0066547A"/>
    <w:rsid w:val="006B2BA7"/>
    <w:rsid w:val="006C1B03"/>
    <w:rsid w:val="006F40D2"/>
    <w:rsid w:val="007256A3"/>
    <w:rsid w:val="00734FD3"/>
    <w:rsid w:val="007540DA"/>
    <w:rsid w:val="00773EAF"/>
    <w:rsid w:val="007958AF"/>
    <w:rsid w:val="00834CEF"/>
    <w:rsid w:val="00873F81"/>
    <w:rsid w:val="008826BA"/>
    <w:rsid w:val="00892887"/>
    <w:rsid w:val="00920685"/>
    <w:rsid w:val="009E0430"/>
    <w:rsid w:val="00A20E41"/>
    <w:rsid w:val="00A419EB"/>
    <w:rsid w:val="00A8256E"/>
    <w:rsid w:val="00B56CD7"/>
    <w:rsid w:val="00B976B5"/>
    <w:rsid w:val="00C74FFF"/>
    <w:rsid w:val="00C972EE"/>
    <w:rsid w:val="00CF30A1"/>
    <w:rsid w:val="00D5097F"/>
    <w:rsid w:val="00D536D3"/>
    <w:rsid w:val="00D701DF"/>
    <w:rsid w:val="00D76BBA"/>
    <w:rsid w:val="00D95774"/>
    <w:rsid w:val="00DD7A0B"/>
    <w:rsid w:val="00E432AA"/>
    <w:rsid w:val="00FB2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BE9AC-45EF-9A40-8745-A8A35B8A9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dcterms:created xsi:type="dcterms:W3CDTF">2021-12-15T18:43:00Z</dcterms:created>
  <dcterms:modified xsi:type="dcterms:W3CDTF">2022-01-11T11:18:00Z</dcterms:modified>
</cp:coreProperties>
</file>